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6"/>
        </w:rPr>
        <w:t>Kostenlose Vorlage von KalemiFlow · kalemiflow.de</w:t>
      </w:r>
    </w:p>
    <w:p>
      <w:pPr>
        <w:pStyle w:val="Heading1"/>
      </w:pPr>
      <w:r>
        <w:t>Kodierleitfaden nach Mayring – Vorlage</w:t>
      </w:r>
    </w:p>
    <w:p>
      <w:r>
        <w:rPr>
          <w:b w:val="0"/>
          <w:i/>
          <w:color w:val="666666"/>
        </w:rPr>
        <w:t>Standard-Aufbau: Kategorie, Definition, Ankerbeispiel, Kodierregel. Zeilen K1–K3 = ausgefülltes Beispiel (fiktive Interviewstudie „Homeoffice-Erfahrungen“), darunter Leerzeilen zum Ausfüllen.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587"/>
          </w:tcPr>
          <w:p>
            <w:r/>
            <w:r>
              <w:rPr>
                <w:b/>
              </w:rPr>
              <w:t>Kategorie</w:t>
            </w:r>
          </w:p>
        </w:tc>
        <w:tc>
          <w:tcPr>
            <w:tcW w:type="dxa" w:w="2381"/>
          </w:tcPr>
          <w:p>
            <w:r/>
            <w:r>
              <w:rPr>
                <w:b/>
              </w:rPr>
              <w:t>Definition</w:t>
            </w:r>
          </w:p>
        </w:tc>
        <w:tc>
          <w:tcPr>
            <w:tcW w:type="dxa" w:w="2608"/>
          </w:tcPr>
          <w:p>
            <w:r/>
            <w:r>
              <w:rPr>
                <w:b/>
              </w:rPr>
              <w:t>Ankerbeispiel</w:t>
            </w:r>
          </w:p>
        </w:tc>
        <w:tc>
          <w:tcPr>
            <w:tcW w:type="dxa" w:w="2608"/>
          </w:tcPr>
          <w:p>
            <w:r/>
            <w:r>
              <w:rPr>
                <w:b/>
              </w:rPr>
              <w:t>Kodierregel</w:t>
            </w:r>
          </w:p>
        </w:tc>
      </w:tr>
      <w:tr>
        <w:tc>
          <w:tcPr>
            <w:tcW w:type="dxa" w:w="1587"/>
          </w:tcPr>
          <w:p>
            <w:r>
              <w:t>K1: Autonomiegewinn</w:t>
            </w:r>
          </w:p>
        </w:tc>
        <w:tc>
          <w:tcPr>
            <w:tcW w:type="dxa" w:w="2381"/>
          </w:tcPr>
          <w:p>
            <w:r>
              <w:t>Aussagen, in denen Befragte größere Selbstbestimmung über Arbeitszeit, -ort oder -ablauf im Homeoffice beschreiben.</w:t>
            </w:r>
          </w:p>
        </w:tc>
        <w:tc>
          <w:tcPr>
            <w:tcW w:type="dxa" w:w="2608"/>
          </w:tcPr>
          <w:p>
            <w:r>
              <w:t>„Ich kann mir meine Aufgaben endlich so legen, wie es zu meinem Tag passt.“ (I3, Z. 44–45)</w:t>
            </w:r>
          </w:p>
        </w:tc>
        <w:tc>
          <w:tcPr>
            <w:tcW w:type="dxa" w:w="2608"/>
          </w:tcPr>
          <w:p>
            <w:r>
              <w:t>Kodieren, wenn Selbstbestimmung explizit positiv thematisiert wird. Nicht kodieren bei reiner Beschreibung des Arbeitsorts (keine Wertung).</w:t>
            </w:r>
          </w:p>
        </w:tc>
      </w:tr>
      <w:tr>
        <w:tc>
          <w:tcPr>
            <w:tcW w:type="dxa" w:w="1587"/>
          </w:tcPr>
          <w:p>
            <w:r>
              <w:t>K2: Entgrenzung</w:t>
            </w:r>
          </w:p>
        </w:tc>
        <w:tc>
          <w:tcPr>
            <w:tcW w:type="dxa" w:w="2381"/>
          </w:tcPr>
          <w:p>
            <w:r>
              <w:t>Aussagen über das Verschwimmen der Grenze zwischen Arbeits- und Privatleben.</w:t>
            </w:r>
          </w:p>
        </w:tc>
        <w:tc>
          <w:tcPr>
            <w:tcW w:type="dxa" w:w="2608"/>
          </w:tcPr>
          <w:p>
            <w:r>
              <w:t>„Abends um zehn beantworte ich dann doch noch Mails.“ (I1, Z. 102)</w:t>
            </w:r>
          </w:p>
        </w:tc>
        <w:tc>
          <w:tcPr>
            <w:tcW w:type="dxa" w:w="2608"/>
          </w:tcPr>
          <w:p>
            <w:r>
              <w:t>Kodieren bei zeitlicher ODER räumlicher Entgrenzung. Abgrenzung zu K3: nur kodieren, wenn keine gesundheitliche Folge genannt wird.</w:t>
            </w:r>
          </w:p>
        </w:tc>
      </w:tr>
      <w:tr>
        <w:tc>
          <w:tcPr>
            <w:tcW w:type="dxa" w:w="1587"/>
          </w:tcPr>
          <w:p>
            <w:r>
              <w:t>K3: Belastungsfolgen</w:t>
            </w:r>
          </w:p>
        </w:tc>
        <w:tc>
          <w:tcPr>
            <w:tcW w:type="dxa" w:w="2381"/>
          </w:tcPr>
          <w:p>
            <w:r>
              <w:t>Aussagen über psychische oder physische Beanspruchungsfolgen der Homeoffice-Situation.</w:t>
            </w:r>
          </w:p>
        </w:tc>
        <w:tc>
          <w:tcPr>
            <w:tcW w:type="dxa" w:w="2608"/>
          </w:tcPr>
          <w:p>
            <w:r>
              <w:t>„Ich schlafe schlechter, weil der Schreibtisch im Schlafzimmer steht.“ (I5, Z. 71–72)</w:t>
            </w:r>
          </w:p>
        </w:tc>
        <w:tc>
          <w:tcPr>
            <w:tcW w:type="dxa" w:w="2608"/>
          </w:tcPr>
          <w:p>
            <w:r>
              <w:t>Nur kodieren, wenn eine konkrete Folge benannt wird. Geht Entgrenzung in eine Folge über, hat K3 Vorrang vor K2.</w:t>
            </w:r>
          </w:p>
        </w:tc>
      </w:tr>
      <w:tr>
        <w:tc>
          <w:tcPr>
            <w:tcW w:type="dxa" w:w="1587"/>
          </w:tcPr>
          <w:p>
            <w:r>
              <w:t>K4: [Name]</w:t>
            </w:r>
          </w:p>
        </w:tc>
        <w:tc>
          <w:tcPr>
            <w:tcW w:type="dxa" w:w="2381"/>
          </w:tcPr>
          <w:p>
            <w:r>
              <w:t>[Was fällt inhaltlich in diese Kategorie?]</w:t>
            </w:r>
          </w:p>
        </w:tc>
        <w:tc>
          <w:tcPr>
            <w:tcW w:type="dxa" w:w="2608"/>
          </w:tcPr>
          <w:p>
            <w:r>
              <w:t>[Wörtliches Zitat mit Fundstelle]</w:t>
            </w:r>
          </w:p>
        </w:tc>
        <w:tc>
          <w:tcPr>
            <w:tcW w:type="dxa" w:w="2608"/>
          </w:tcPr>
          <w:p>
            <w:r>
              <w:t>[Wann kodieren? Wovon abgrenzen? Vorrangregeln?]</w:t>
            </w:r>
          </w:p>
        </w:tc>
      </w:tr>
      <w:tr>
        <w:tc>
          <w:tcPr>
            <w:tcW w:type="dxa" w:w="1587"/>
          </w:tcPr>
          <w:p>
            <w:r>
              <w:t>K5: [Name]</w:t>
            </w:r>
          </w:p>
        </w:tc>
        <w:tc>
          <w:tcPr>
            <w:tcW w:type="dxa" w:w="2381"/>
          </w:tcPr>
          <w:p>
            <w:r>
              <w:t>[…]</w:t>
            </w:r>
          </w:p>
        </w:tc>
        <w:tc>
          <w:tcPr>
            <w:tcW w:type="dxa" w:w="2608"/>
          </w:tcPr>
          <w:p>
            <w:r>
              <w:t>[…]</w:t>
            </w:r>
          </w:p>
        </w:tc>
        <w:tc>
          <w:tcPr>
            <w:tcW w:type="dxa" w:w="2608"/>
          </w:tcPr>
          <w:p>
            <w:r>
              <w:t>[…]</w:t>
            </w:r>
          </w:p>
        </w:tc>
      </w:tr>
      <w:tr>
        <w:tc>
          <w:tcPr>
            <w:tcW w:type="dxa" w:w="1587"/>
          </w:tcPr>
          <w:p>
            <w:r>
              <w:t>K6: [Name]</w:t>
            </w:r>
          </w:p>
        </w:tc>
        <w:tc>
          <w:tcPr>
            <w:tcW w:type="dxa" w:w="2381"/>
          </w:tcPr>
          <w:p>
            <w:r>
              <w:t>[…]</w:t>
            </w:r>
          </w:p>
        </w:tc>
        <w:tc>
          <w:tcPr>
            <w:tcW w:type="dxa" w:w="2608"/>
          </w:tcPr>
          <w:p>
            <w:r>
              <w:t>[…]</w:t>
            </w:r>
          </w:p>
        </w:tc>
        <w:tc>
          <w:tcPr>
            <w:tcW w:type="dxa" w:w="2608"/>
          </w:tcPr>
          <w:p>
            <w:r>
              <w:t>[…]</w:t>
            </w:r>
          </w:p>
        </w:tc>
      </w:tr>
      <w:tr>
        <w:tc>
          <w:tcPr>
            <w:tcW w:type="dxa" w:w="1587"/>
          </w:tcPr>
          <w:p>
            <w:r>
              <w:t>K7: [Name]</w:t>
            </w:r>
          </w:p>
        </w:tc>
        <w:tc>
          <w:tcPr>
            <w:tcW w:type="dxa" w:w="2381"/>
          </w:tcPr>
          <w:p>
            <w:r>
              <w:t>[…]</w:t>
            </w:r>
          </w:p>
        </w:tc>
        <w:tc>
          <w:tcPr>
            <w:tcW w:type="dxa" w:w="2608"/>
          </w:tcPr>
          <w:p>
            <w:r>
              <w:t>[…]</w:t>
            </w:r>
          </w:p>
        </w:tc>
        <w:tc>
          <w:tcPr>
            <w:tcW w:type="dxa" w:w="2608"/>
          </w:tcPr>
          <w:p>
            <w:r>
              <w:t>[…]</w:t>
            </w:r>
          </w:p>
        </w:tc>
      </w:tr>
      <w:tr>
        <w:tc>
          <w:tcPr>
            <w:tcW w:type="dxa" w:w="1587"/>
          </w:tcPr>
          <w:p>
            <w:r>
              <w:t>K8: [Name]</w:t>
            </w:r>
          </w:p>
        </w:tc>
        <w:tc>
          <w:tcPr>
            <w:tcW w:type="dxa" w:w="2381"/>
          </w:tcPr>
          <w:p>
            <w:r>
              <w:t>[…]</w:t>
            </w:r>
          </w:p>
        </w:tc>
        <w:tc>
          <w:tcPr>
            <w:tcW w:type="dxa" w:w="2608"/>
          </w:tcPr>
          <w:p>
            <w:r>
              <w:t>[…]</w:t>
            </w:r>
          </w:p>
        </w:tc>
        <w:tc>
          <w:tcPr>
            <w:tcW w:type="dxa" w:w="2608"/>
          </w:tcPr>
          <w:p>
            <w:r>
              <w:t>[…]</w:t>
            </w:r>
          </w:p>
        </w:tc>
      </w:tr>
    </w:tbl>
    <w:p>
      <w:pPr>
        <w:pStyle w:val="Heading2"/>
      </w:pPr>
      <w:r>
        <w:t>Hinweise</w:t>
      </w:r>
    </w:p>
    <w:p>
      <w:pPr>
        <w:pStyle w:val="ListBullet"/>
      </w:pPr>
      <w:r>
        <w:t>Deduktive Kategorien: aus der Theorie ableiten und VOR der Kodierung definieren. Induktive: am Material bilden, Leitfaden fortlaufend ergänzen.</w:t>
      </w:r>
    </w:p>
    <w:p>
      <w:pPr>
        <w:pStyle w:val="ListBullet"/>
      </w:pPr>
      <w:r>
        <w:t>Jede Kodierregel braucht eine Abgrenzung („nicht kodieren, wenn …“), sonst leidet die Intercoder-Übereinstimmung.</w:t>
      </w:r>
    </w:p>
    <w:p>
      <w:pPr>
        <w:pStyle w:val="ListBullet"/>
      </w:pPr>
      <w:r>
        <w:t>Der vollständige Leitfaden gehört in den Anhang; im Methodenteil beschreiben Sie seine Entstehung.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